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353F5270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665A7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="00AC48D2">
              <w:rPr>
                <w:rFonts w:ascii="Century Gothic" w:hAnsi="Century Gothic" w:cs="Arial"/>
                <w:sz w:val="20"/>
                <w:szCs w:val="20"/>
              </w:rPr>
              <w:t>5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48BE73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AC48D2">
                  <w:rPr>
                    <w:rFonts w:ascii="Century Gothic" w:hAnsi="Century Gothic" w:cs="Arial"/>
                    <w:sz w:val="20"/>
                    <w:szCs w:val="20"/>
                  </w:rPr>
                  <w:t>World of Stories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7655E262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A86E39B693D841E4B9B85670F0E5549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AC48D2">
                  <w:rPr>
                    <w:rFonts w:ascii="Century Gothic" w:hAnsi="Century Gothic" w:cs="Arial"/>
                    <w:sz w:val="20"/>
                    <w:szCs w:val="20"/>
                  </w:rPr>
                  <w:t>POETRY : CATS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358BA490" w:rsidR="000D5D7E" w:rsidRPr="00E55395" w:rsidRDefault="00AC48D2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C48D2">
              <w:rPr>
                <w:rFonts w:ascii="Century Gothic" w:hAnsi="Century Gothic" w:cs="Arial"/>
                <w:sz w:val="20"/>
                <w:szCs w:val="20"/>
              </w:rPr>
              <w:t>Verbs (continuous tense)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0F110154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AC48D2">
                  <w:rPr>
                    <w:rFonts w:ascii="Century Gothic" w:hAnsi="Century Gothic" w:cs="Arial"/>
                    <w:sz w:val="20"/>
                    <w:szCs w:val="20"/>
                  </w:rPr>
                  <w:t>Language Arts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58125021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AC48D2">
                  <w:rPr>
                    <w:rFonts w:ascii="Century Gothic" w:hAnsi="Century Gothic" w:cs="Arial"/>
                    <w:sz w:val="20"/>
                    <w:szCs w:val="20"/>
                  </w:rPr>
                  <w:t>Listening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73720070" w:rsidR="000D5D7E" w:rsidRPr="00E55395" w:rsidRDefault="00AC48D2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5.2 Express personal responses to literary texts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2F7D6137" w:rsidR="000D5D7E" w:rsidRPr="00E55395" w:rsidRDefault="00AC48D2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1.2 Understand meaning in a variety of familiar contexts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48BBB716" w:rsidR="000D5D7E" w:rsidRPr="00E55395" w:rsidRDefault="00AC48D2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5.2.1 Explain in simple language why they like or dislike an event, description or character in a text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10E0533A" w:rsidR="000D5D7E" w:rsidRPr="00E55395" w:rsidRDefault="00AC48D2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1.2.2 Understand with support specific information and details of longer simple texts on a range of familiar topics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91570E4" w14:textId="62E8B121" w:rsidR="00DD3F90" w:rsidRPr="00DD3F90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</w:t>
            </w:r>
            <w:r w:rsidR="00CD107A">
              <w:rPr>
                <w:rFonts w:ascii="Century Gothic" w:hAnsi="Century Gothic" w:cs="Arial"/>
                <w:sz w:val="20"/>
                <w:szCs w:val="20"/>
                <w:lang w:val="en-MY"/>
              </w:rPr>
              <w:t>to</w:t>
            </w:r>
            <w:r w:rsidR="00A23D0F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answer questions in a hot seat activity based on the poem: Cats</w:t>
            </w:r>
          </w:p>
          <w:p w14:paraId="1956E5B9" w14:textId="5A42BFDA" w:rsidR="000D5D7E" w:rsidRPr="007015C5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</w:t>
            </w:r>
            <w:r w:rsidR="00AC48D2">
              <w:rPr>
                <w:rFonts w:ascii="Century Gothic" w:hAnsi="Century Gothic" w:cs="Arial"/>
                <w:sz w:val="20"/>
                <w:szCs w:val="20"/>
                <w:lang w:val="en-MY"/>
              </w:rPr>
              <w:t>to</w:t>
            </w:r>
            <w:r w:rsidR="00A23D0F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listen to the statement given by teachers and nod or shake their head to show weather t</w:t>
            </w:r>
            <w:r w:rsidR="00A23D0F">
              <w:t xml:space="preserve"> </w:t>
            </w:r>
            <w:r w:rsidR="00A23D0F" w:rsidRPr="00A23D0F">
              <w:rPr>
                <w:rFonts w:ascii="Century Gothic" w:hAnsi="Century Gothic" w:cs="Arial"/>
                <w:sz w:val="20"/>
                <w:szCs w:val="20"/>
                <w:lang w:val="en-MY"/>
              </w:rPr>
              <w:t>the statement is true or false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46C66B17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A23D0F">
              <w:rPr>
                <w:rFonts w:ascii="Century Gothic" w:hAnsi="Century Gothic" w:cs="Arial"/>
                <w:sz w:val="20"/>
                <w:szCs w:val="20"/>
                <w:lang w:val="en-MY"/>
              </w:rPr>
              <w:t>answer questions in a hot seat activity based on the poem: Cats</w:t>
            </w:r>
          </w:p>
          <w:p w14:paraId="0EE8FEFA" w14:textId="0C8B8C35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A23D0F" w:rsidRPr="00A23D0F">
              <w:rPr>
                <w:rFonts w:ascii="Century Gothic" w:hAnsi="Century Gothic" w:cs="Arial"/>
                <w:sz w:val="20"/>
                <w:szCs w:val="20"/>
                <w:lang w:val="en-MY"/>
              </w:rPr>
              <w:t>to listen to the statement given by teachers and nod or shake their head to show weather t the statement is true or false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  <w:listItem w:displayText="Textbook, worksheet, conjunction cards" w:value="Textbook, worksheet, conjunction cards"/>
              <w:listItem w:displayText="Poem" w:value="Poem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1A1DD81C" w:rsidR="000D5D7E" w:rsidRPr="00E55395" w:rsidRDefault="00AC48D2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Poem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4D31FE59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512147516"/>
                <w:placeholder>
                  <w:docPart w:val="8152792189294D788E820CA6FC139C8B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Content>
                <w:r w:rsidR="00AC48D2">
                  <w:rPr>
                    <w:rFonts w:ascii="Century Gothic" w:hAnsi="Century Gothic" w:cs="Arial"/>
                    <w:sz w:val="20"/>
                    <w:szCs w:val="20"/>
                  </w:rPr>
                  <w:t>Creativity and Innovation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31363FD4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43477B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0141F707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dbacks" w:value="Feedbacks"/>
                </w:comboBox>
              </w:sdtPr>
              <w:sdtEndPr/>
              <w:sdtContent>
                <w:r w:rsidR="00C6375D">
                  <w:rPr>
                    <w:rFonts w:ascii="Century Gothic" w:hAnsi="Century Gothic" w:cs="Arial"/>
                    <w:sz w:val="20"/>
                    <w:szCs w:val="20"/>
                  </w:rPr>
                  <w:t>Time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10181FC8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  <w:listItem w:displayText="Innovation" w:value="Innovation"/>
                  <w:listItem w:displayText="Story telling" w:value="Story telling"/>
                </w:comboBox>
              </w:sdtPr>
              <w:sdtEndPr/>
              <w:sdtContent>
                <w:r w:rsidR="00AC48D2">
                  <w:rPr>
                    <w:rFonts w:ascii="Century Gothic" w:hAnsi="Century Gothic" w:cs="Arial"/>
                    <w:sz w:val="20"/>
                    <w:szCs w:val="20"/>
                  </w:rPr>
                  <w:t>Hot Seat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4F99C358" w:rsidR="00E55395" w:rsidRPr="00E65FCB" w:rsidRDefault="00B63B6E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Teacher </w:t>
            </w:r>
            <w:r w:rsidR="00AC48D2" w:rsidRPr="00AC48D2">
              <w:rPr>
                <w:rFonts w:ascii="Century Gothic" w:hAnsi="Century Gothic" w:cs="Arial"/>
                <w:sz w:val="20"/>
                <w:szCs w:val="20"/>
              </w:rPr>
              <w:t>draws outlines of pet animals (e.g. a cat, fish, dog, etc.) and lets pupils</w:t>
            </w:r>
            <w:r w:rsidR="00AC48D2">
              <w:t xml:space="preserve"> </w:t>
            </w:r>
            <w:r w:rsidR="00AC48D2" w:rsidRPr="00AC48D2">
              <w:rPr>
                <w:rFonts w:ascii="Century Gothic" w:hAnsi="Century Gothic" w:cs="Arial"/>
                <w:sz w:val="20"/>
                <w:szCs w:val="20"/>
              </w:rPr>
              <w:t>predict the animal groups (answer: pets) [Pre-Lesson Task 8 – Predict the</w:t>
            </w:r>
            <w:r w:rsidR="00AC48D2">
              <w:t xml:space="preserve"> </w:t>
            </w:r>
            <w:r w:rsidR="00AC48D2" w:rsidRPr="00AC48D2">
              <w:rPr>
                <w:rFonts w:ascii="Century Gothic" w:hAnsi="Century Gothic" w:cs="Arial"/>
                <w:sz w:val="20"/>
                <w:szCs w:val="20"/>
              </w:rPr>
              <w:t>contents]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FE715B5" w14:textId="77777777" w:rsidR="00060594" w:rsidRDefault="00060594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Teacher </w:t>
            </w:r>
            <w:r w:rsidR="00AC48D2" w:rsidRPr="00AC48D2">
              <w:rPr>
                <w:rFonts w:ascii="Century Gothic" w:hAnsi="Century Gothic" w:cs="Arial"/>
                <w:sz w:val="20"/>
                <w:szCs w:val="20"/>
              </w:rPr>
              <w:t>Introduce</w:t>
            </w:r>
            <w:r w:rsidR="00AC48D2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AC48D2" w:rsidRPr="00AC48D2">
              <w:rPr>
                <w:rFonts w:ascii="Century Gothic" w:hAnsi="Century Gothic" w:cs="Arial"/>
                <w:sz w:val="20"/>
                <w:szCs w:val="20"/>
              </w:rPr>
              <w:t xml:space="preserve"> the poem. </w:t>
            </w:r>
            <w:r w:rsidR="00AC48D2">
              <w:rPr>
                <w:rFonts w:ascii="Century Gothic" w:hAnsi="Century Gothic" w:cs="Arial"/>
                <w:sz w:val="20"/>
                <w:szCs w:val="20"/>
              </w:rPr>
              <w:t>Pupils d</w:t>
            </w:r>
            <w:r w:rsidR="00AC48D2" w:rsidRPr="00AC48D2">
              <w:rPr>
                <w:rFonts w:ascii="Century Gothic" w:hAnsi="Century Gothic" w:cs="Arial"/>
                <w:sz w:val="20"/>
                <w:szCs w:val="20"/>
              </w:rPr>
              <w:t>iscuss the corresponding images on the page</w:t>
            </w:r>
            <w:r w:rsidR="00AC48D2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2BD1D164" w14:textId="51EC0762" w:rsidR="00AC48D2" w:rsidRDefault="00AC48D2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are divided into four big groups and each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group is assigned to a stanza</w:t>
            </w:r>
            <w: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Each group has to read the stanza and the other three groups’ members have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to individually point to the corresponding picture (read: scratching the gate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others: point at the gate in the book).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Teacher informs pupils that they have to think of possible suggested actions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based on the cats’ actions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Pupils pair up and think of their possible actions.</w:t>
            </w:r>
          </w:p>
          <w:p w14:paraId="4D07CC77" w14:textId="372D30F3" w:rsidR="00AC48D2" w:rsidRPr="001454B8" w:rsidRDefault="00AC48D2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AC48D2">
              <w:rPr>
                <w:rFonts w:ascii="Century Gothic" w:hAnsi="Century Gothic" w:cs="Arial"/>
                <w:sz w:val="20"/>
                <w:szCs w:val="20"/>
              </w:rPr>
              <w:t>Teacher conducts ‘Hot Seat’ activity where each pair comes in front. Others can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choose the four cats’ actions (scratching the backdoor, scratching the gate,</w:t>
            </w:r>
            <w: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scratching the bee-hive or napping on a chair) and ask questions (e.g. Do you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like it? What do you want to do?)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2AEA4D6E" w:rsidR="00062D9D" w:rsidRPr="008D0328" w:rsidRDefault="00AC48D2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AC48D2">
              <w:rPr>
                <w:rFonts w:ascii="Century Gothic" w:hAnsi="Century Gothic" w:cs="Arial"/>
                <w:sz w:val="20"/>
                <w:szCs w:val="20"/>
              </w:rPr>
              <w:t>Pupils look at the pictures on the poem for a minute and then, teacher asks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them to close it.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Teacher gives a few statements and pupils have to nod or shake their head to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show whether the statement is true or false (</w:t>
            </w:r>
            <w:proofErr w:type="spellStart"/>
            <w:r w:rsidRPr="00AC48D2">
              <w:rPr>
                <w:rFonts w:ascii="Century Gothic" w:hAnsi="Century Gothic" w:cs="Arial"/>
                <w:sz w:val="20"/>
                <w:szCs w:val="20"/>
              </w:rPr>
              <w:t>e.g</w:t>
            </w:r>
            <w:proofErr w:type="spellEnd"/>
            <w:r w:rsidRPr="00AC48D2">
              <w:rPr>
                <w:rFonts w:ascii="Century Gothic" w:hAnsi="Century Gothic" w:cs="Arial"/>
                <w:sz w:val="20"/>
                <w:szCs w:val="20"/>
              </w:rPr>
              <w:t xml:space="preserve"> The cat is eating a mouse –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C48D2">
              <w:rPr>
                <w:rFonts w:ascii="Century Gothic" w:hAnsi="Century Gothic" w:cs="Arial"/>
                <w:sz w:val="20"/>
                <w:szCs w:val="20"/>
              </w:rPr>
              <w:t>shake their head) [Post-lesson Task 8- Test Your Memory]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6A9515F1" w:rsidR="000D5D7E" w:rsidRPr="00E55395" w:rsidRDefault="00AC48D2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Observation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A23D0F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51BFB"/>
    <w:rsid w:val="00060594"/>
    <w:rsid w:val="00062D9D"/>
    <w:rsid w:val="00073EE8"/>
    <w:rsid w:val="000923B1"/>
    <w:rsid w:val="000D5D7E"/>
    <w:rsid w:val="000E6B27"/>
    <w:rsid w:val="00137F27"/>
    <w:rsid w:val="001454B8"/>
    <w:rsid w:val="001665A7"/>
    <w:rsid w:val="0019787E"/>
    <w:rsid w:val="00243D95"/>
    <w:rsid w:val="002C75B2"/>
    <w:rsid w:val="0032597D"/>
    <w:rsid w:val="00363BE7"/>
    <w:rsid w:val="00371089"/>
    <w:rsid w:val="003749BA"/>
    <w:rsid w:val="003B45AB"/>
    <w:rsid w:val="003B7F73"/>
    <w:rsid w:val="003D0F0E"/>
    <w:rsid w:val="003D6ECD"/>
    <w:rsid w:val="00417FE8"/>
    <w:rsid w:val="0043477B"/>
    <w:rsid w:val="0048564C"/>
    <w:rsid w:val="00495000"/>
    <w:rsid w:val="00510AA1"/>
    <w:rsid w:val="00545D42"/>
    <w:rsid w:val="005818A7"/>
    <w:rsid w:val="005A4789"/>
    <w:rsid w:val="005B551A"/>
    <w:rsid w:val="005E2298"/>
    <w:rsid w:val="007015C5"/>
    <w:rsid w:val="00770907"/>
    <w:rsid w:val="00773734"/>
    <w:rsid w:val="00807FB0"/>
    <w:rsid w:val="00861DCB"/>
    <w:rsid w:val="00871517"/>
    <w:rsid w:val="008A18B0"/>
    <w:rsid w:val="008A3224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23D0F"/>
    <w:rsid w:val="00A36D26"/>
    <w:rsid w:val="00A3775D"/>
    <w:rsid w:val="00AA0D5E"/>
    <w:rsid w:val="00AC48D2"/>
    <w:rsid w:val="00B63B6E"/>
    <w:rsid w:val="00B85C62"/>
    <w:rsid w:val="00BB1B84"/>
    <w:rsid w:val="00C36FEC"/>
    <w:rsid w:val="00C46D9B"/>
    <w:rsid w:val="00C6375D"/>
    <w:rsid w:val="00C660A0"/>
    <w:rsid w:val="00CA483A"/>
    <w:rsid w:val="00CB7234"/>
    <w:rsid w:val="00CD107A"/>
    <w:rsid w:val="00D3246D"/>
    <w:rsid w:val="00D57FA6"/>
    <w:rsid w:val="00D8630D"/>
    <w:rsid w:val="00D91970"/>
    <w:rsid w:val="00D9628A"/>
    <w:rsid w:val="00DC4C5A"/>
    <w:rsid w:val="00DC79CF"/>
    <w:rsid w:val="00DD3F90"/>
    <w:rsid w:val="00DD475F"/>
    <w:rsid w:val="00E06F23"/>
    <w:rsid w:val="00E50CD0"/>
    <w:rsid w:val="00E55395"/>
    <w:rsid w:val="00E60CF1"/>
    <w:rsid w:val="00E65FCB"/>
    <w:rsid w:val="00E96ED3"/>
    <w:rsid w:val="00EB00DC"/>
    <w:rsid w:val="00EC780B"/>
    <w:rsid w:val="00ED0E32"/>
    <w:rsid w:val="00EE4912"/>
    <w:rsid w:val="00F63196"/>
    <w:rsid w:val="00F96D22"/>
    <w:rsid w:val="00FA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86E39B693D841E4B9B85670F0E55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8C38F-50AC-4C1A-B181-733CAF30038F}"/>
      </w:docPartPr>
      <w:docPartBody>
        <w:p w:rsidR="00BE3C93" w:rsidRDefault="00C920FB" w:rsidP="00C920FB">
          <w:pPr>
            <w:pStyle w:val="A86E39B693D841E4B9B85670F0E5549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8152792189294D788E820CA6FC139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2826E-9AB9-469C-B1DF-A55C9E9DB304}"/>
      </w:docPartPr>
      <w:docPartBody>
        <w:p w:rsidR="00000000" w:rsidRDefault="00AF3765" w:rsidP="00AF3765">
          <w:pPr>
            <w:pStyle w:val="8152792189294D788E820CA6FC139C8B"/>
          </w:pPr>
          <w:r w:rsidRPr="007F217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315D03"/>
    <w:rsid w:val="00387D89"/>
    <w:rsid w:val="003C652C"/>
    <w:rsid w:val="004014C4"/>
    <w:rsid w:val="004917BC"/>
    <w:rsid w:val="00491EAF"/>
    <w:rsid w:val="004B08A6"/>
    <w:rsid w:val="004C2000"/>
    <w:rsid w:val="005044E2"/>
    <w:rsid w:val="005416BC"/>
    <w:rsid w:val="005C55F4"/>
    <w:rsid w:val="00617A67"/>
    <w:rsid w:val="006E28B0"/>
    <w:rsid w:val="007B34C4"/>
    <w:rsid w:val="00855AAF"/>
    <w:rsid w:val="00960EF7"/>
    <w:rsid w:val="0096384A"/>
    <w:rsid w:val="009A6274"/>
    <w:rsid w:val="009E023F"/>
    <w:rsid w:val="00A35F22"/>
    <w:rsid w:val="00AF3765"/>
    <w:rsid w:val="00B27FBB"/>
    <w:rsid w:val="00BE3C93"/>
    <w:rsid w:val="00C1199A"/>
    <w:rsid w:val="00C82D35"/>
    <w:rsid w:val="00C920FB"/>
    <w:rsid w:val="00CD08B2"/>
    <w:rsid w:val="00DA72C6"/>
    <w:rsid w:val="00E411B2"/>
    <w:rsid w:val="00EE1DDC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3765"/>
    <w:rPr>
      <w:color w:val="808080"/>
    </w:rPr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A86E39B693D841E4B9B85670F0E55493">
    <w:name w:val="A86E39B693D841E4B9B85670F0E55493"/>
    <w:rsid w:val="00C920FB"/>
  </w:style>
  <w:style w:type="paragraph" w:customStyle="1" w:styleId="8152792189294D788E820CA6FC139C8B">
    <w:name w:val="8152792189294D788E820CA6FC139C8B"/>
    <w:rsid w:val="00AF37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64</cp:revision>
  <dcterms:created xsi:type="dcterms:W3CDTF">2021-01-08T08:10:00Z</dcterms:created>
  <dcterms:modified xsi:type="dcterms:W3CDTF">2021-01-10T12:02:00Z</dcterms:modified>
</cp:coreProperties>
</file>